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E0946" w14:textId="77777777" w:rsidR="001A059E" w:rsidRPr="007C0BBF" w:rsidRDefault="001A059E" w:rsidP="001A059E">
      <w:pPr>
        <w:jc w:val="center"/>
        <w:rPr>
          <w:b/>
        </w:rPr>
      </w:pPr>
      <w:r w:rsidRPr="007C0BBF">
        <w:rPr>
          <w:b/>
        </w:rPr>
        <w:t xml:space="preserve">Mitochondrial respiratory states and rates: </w:t>
      </w:r>
    </w:p>
    <w:p w14:paraId="6366A4E2" w14:textId="77777777" w:rsidR="001A059E" w:rsidRDefault="001A059E" w:rsidP="001A059E">
      <w:pPr>
        <w:jc w:val="center"/>
        <w:rPr>
          <w:b/>
        </w:rPr>
      </w:pPr>
      <w:r w:rsidRPr="007C0BBF">
        <w:rPr>
          <w:b/>
        </w:rPr>
        <w:t>Building blocks of mitochondrial physiology Part 1</w:t>
      </w:r>
    </w:p>
    <w:p w14:paraId="73D065DD" w14:textId="3A350D36" w:rsidR="001A059E" w:rsidRDefault="001A059E" w:rsidP="001A059E">
      <w:pPr>
        <w:jc w:val="center"/>
      </w:pPr>
      <w:r>
        <w:t>Comme</w:t>
      </w:r>
      <w:r w:rsidR="00552F02">
        <w:t>nts from A.P. Sowton and Dr K.</w:t>
      </w:r>
      <w:r>
        <w:t xml:space="preserve">A. O’Brien </w:t>
      </w:r>
    </w:p>
    <w:p w14:paraId="1C2AC4CC" w14:textId="1CE0C17A" w:rsidR="00457E0C" w:rsidRDefault="0061682A"/>
    <w:p w14:paraId="756B3843" w14:textId="3C99989E" w:rsidR="001A059E" w:rsidRDefault="001A059E">
      <w:pPr>
        <w:rPr>
          <w:sz w:val="21"/>
        </w:rPr>
      </w:pPr>
      <w:r w:rsidRPr="0061682A">
        <w:rPr>
          <w:color w:val="000000" w:themeColor="text1"/>
          <w:sz w:val="21"/>
          <w:u w:val="single"/>
        </w:rPr>
        <w:t>Line 108</w:t>
      </w:r>
      <w:r w:rsidRPr="0061682A">
        <w:rPr>
          <w:color w:val="000000" w:themeColor="text1"/>
          <w:sz w:val="21"/>
        </w:rPr>
        <w:t xml:space="preserve">: </w:t>
      </w:r>
      <w:r w:rsidRPr="0061682A">
        <w:rPr>
          <w:i/>
          <w:color w:val="000000" w:themeColor="text1"/>
          <w:sz w:val="21"/>
        </w:rPr>
        <w:t>(and throughout the paper)</w:t>
      </w:r>
      <w:r w:rsidRPr="0061682A">
        <w:rPr>
          <w:color w:val="000000" w:themeColor="text1"/>
          <w:sz w:val="21"/>
        </w:rPr>
        <w:t xml:space="preserve"> “protonmotive” </w:t>
      </w:r>
      <w:r w:rsidR="0061682A" w:rsidRPr="0061682A">
        <w:rPr>
          <w:color w:val="000000" w:themeColor="text1"/>
          <w:sz w:val="21"/>
        </w:rPr>
        <w:t xml:space="preserve">perhaps as two </w:t>
      </w:r>
      <w:r w:rsidRPr="0061682A">
        <w:rPr>
          <w:color w:val="000000" w:themeColor="text1"/>
          <w:sz w:val="21"/>
        </w:rPr>
        <w:t>words</w:t>
      </w:r>
      <w:r w:rsidR="0061682A" w:rsidRPr="0061682A">
        <w:rPr>
          <w:color w:val="000000" w:themeColor="text1"/>
          <w:sz w:val="21"/>
        </w:rPr>
        <w:t xml:space="preserve"> (personal preference?) </w:t>
      </w:r>
    </w:p>
    <w:p w14:paraId="77ECC8E1" w14:textId="56E010EC" w:rsidR="001A059E" w:rsidRDefault="001A059E">
      <w:pPr>
        <w:rPr>
          <w:sz w:val="21"/>
        </w:rPr>
      </w:pPr>
      <w:r>
        <w:rPr>
          <w:sz w:val="21"/>
          <w:u w:val="single"/>
        </w:rPr>
        <w:t>Line 128:</w:t>
      </w:r>
      <w:r>
        <w:rPr>
          <w:sz w:val="21"/>
        </w:rPr>
        <w:t xml:space="preserve"> The first point of the executive summary is more of an introduction. It may be better to have this as its own paragraph, ending with “the aspects of mitochondrial function we are focussing on are:”</w:t>
      </w:r>
    </w:p>
    <w:p w14:paraId="6CF60014" w14:textId="1C2B9595" w:rsidR="001A059E" w:rsidRPr="001A059E" w:rsidRDefault="001A059E">
      <w:pPr>
        <w:rPr>
          <w:sz w:val="21"/>
        </w:rPr>
      </w:pPr>
      <w:r>
        <w:rPr>
          <w:sz w:val="21"/>
          <w:u w:val="single"/>
        </w:rPr>
        <w:t>Line 142:</w:t>
      </w:r>
      <w:r>
        <w:rPr>
          <w:sz w:val="21"/>
        </w:rPr>
        <w:t xml:space="preserve"> The word “vectorial” may confuse readers who aren’t familiar with this terminology</w:t>
      </w:r>
    </w:p>
    <w:p w14:paraId="06C73267" w14:textId="20A19492" w:rsidR="001A059E" w:rsidRDefault="001A059E">
      <w:pPr>
        <w:rPr>
          <w:sz w:val="21"/>
        </w:rPr>
      </w:pPr>
      <w:r>
        <w:rPr>
          <w:sz w:val="21"/>
          <w:u w:val="single"/>
        </w:rPr>
        <w:t>Line 160:</w:t>
      </w:r>
      <w:r>
        <w:rPr>
          <w:sz w:val="21"/>
        </w:rPr>
        <w:t xml:space="preserve"> ETS should be defined on first use</w:t>
      </w:r>
    </w:p>
    <w:p w14:paraId="71CD5B82" w14:textId="5821B548" w:rsidR="001A059E" w:rsidRDefault="001A059E">
      <w:pPr>
        <w:rPr>
          <w:sz w:val="21"/>
        </w:rPr>
      </w:pPr>
      <w:r>
        <w:rPr>
          <w:sz w:val="21"/>
          <w:u w:val="single"/>
        </w:rPr>
        <w:t>Line 283:</w:t>
      </w:r>
      <w:r>
        <w:rPr>
          <w:b/>
          <w:sz w:val="21"/>
        </w:rPr>
        <w:t xml:space="preserve"> </w:t>
      </w:r>
      <w:r>
        <w:rPr>
          <w:sz w:val="21"/>
        </w:rPr>
        <w:t>“Only lately it is possible” could be better written as “Only recently has it been possible”</w:t>
      </w:r>
    </w:p>
    <w:p w14:paraId="48232C5F" w14:textId="683C9A66" w:rsidR="001A059E" w:rsidRDefault="001A059E" w:rsidP="001A059E">
      <w:pPr>
        <w:rPr>
          <w:sz w:val="21"/>
        </w:rPr>
      </w:pPr>
      <w:r w:rsidRPr="001A059E">
        <w:rPr>
          <w:sz w:val="21"/>
          <w:u w:val="single"/>
        </w:rPr>
        <w:t>Lines 290-292</w:t>
      </w:r>
      <w:r w:rsidRPr="001A059E">
        <w:rPr>
          <w:sz w:val="21"/>
        </w:rPr>
        <w:t>: Here you consider mitochondrial homeostasis being contro</w:t>
      </w:r>
      <w:r>
        <w:rPr>
          <w:sz w:val="21"/>
        </w:rPr>
        <w:t xml:space="preserve">lled at the transcriptional and </w:t>
      </w:r>
      <w:r w:rsidRPr="001A059E">
        <w:rPr>
          <w:sz w:val="21"/>
        </w:rPr>
        <w:t>post-translational stages; is there epigenetic control of mitostasis too?</w:t>
      </w:r>
    </w:p>
    <w:p w14:paraId="33BC0B7C" w14:textId="2319A2D1" w:rsidR="001A059E" w:rsidRDefault="001A059E" w:rsidP="001A059E">
      <w:pPr>
        <w:rPr>
          <w:sz w:val="21"/>
        </w:rPr>
      </w:pPr>
      <w:r>
        <w:rPr>
          <w:sz w:val="21"/>
          <w:u w:val="single"/>
        </w:rPr>
        <w:t>Line 294:</w:t>
      </w:r>
      <w:r>
        <w:rPr>
          <w:sz w:val="21"/>
        </w:rPr>
        <w:t xml:space="preserve"> Define LON</w:t>
      </w:r>
    </w:p>
    <w:p w14:paraId="285FDA58" w14:textId="7135E6B3" w:rsidR="001A059E" w:rsidRDefault="001A059E" w:rsidP="001A059E">
      <w:pPr>
        <w:rPr>
          <w:sz w:val="21"/>
        </w:rPr>
      </w:pPr>
      <w:r>
        <w:rPr>
          <w:sz w:val="21"/>
          <w:u w:val="single"/>
        </w:rPr>
        <w:t>Line 298</w:t>
      </w:r>
      <w:r>
        <w:rPr>
          <w:sz w:val="21"/>
        </w:rPr>
        <w:t>: This final sentence would be better situated nearer the beginning of the paragraph as it does not link well to the previous sentence</w:t>
      </w:r>
      <w:bookmarkStart w:id="0" w:name="_GoBack"/>
      <w:bookmarkEnd w:id="0"/>
    </w:p>
    <w:p w14:paraId="3BE04402" w14:textId="2083684E" w:rsidR="001A059E" w:rsidRDefault="001A059E" w:rsidP="001A059E">
      <w:pPr>
        <w:rPr>
          <w:b/>
          <w:sz w:val="21"/>
          <w:u w:val="single"/>
        </w:rPr>
      </w:pPr>
      <w:r>
        <w:rPr>
          <w:sz w:val="21"/>
          <w:u w:val="single"/>
        </w:rPr>
        <w:t>Line 302:</w:t>
      </w:r>
      <w:r>
        <w:rPr>
          <w:sz w:val="21"/>
        </w:rPr>
        <w:t xml:space="preserve"> “maternally inherited</w:t>
      </w:r>
      <w:r w:rsidRPr="001A059E">
        <w:rPr>
          <w:sz w:val="21"/>
        </w:rPr>
        <w:t xml:space="preserve">” </w:t>
      </w:r>
      <w:r w:rsidRPr="001A059E">
        <w:rPr>
          <w:b/>
          <w:sz w:val="21"/>
          <w:u w:val="single"/>
        </w:rPr>
        <w:t>in humans</w:t>
      </w:r>
    </w:p>
    <w:p w14:paraId="349A7D24" w14:textId="704D8F96" w:rsidR="001A059E" w:rsidRPr="001A059E" w:rsidRDefault="001A059E" w:rsidP="001A059E">
      <w:pPr>
        <w:ind w:left="1560" w:hanging="1560"/>
        <w:rPr>
          <w:sz w:val="21"/>
          <w:szCs w:val="21"/>
        </w:rPr>
      </w:pPr>
      <w:r w:rsidRPr="001A059E">
        <w:rPr>
          <w:sz w:val="21"/>
          <w:szCs w:val="21"/>
          <w:u w:val="single"/>
        </w:rPr>
        <w:t>Line 314</w:t>
      </w:r>
      <w:r w:rsidRPr="001A059E">
        <w:rPr>
          <w:sz w:val="21"/>
          <w:szCs w:val="21"/>
        </w:rPr>
        <w:t xml:space="preserve">: An example of a nuclear </w:t>
      </w:r>
      <w:r w:rsidR="006823E2">
        <w:rPr>
          <w:sz w:val="21"/>
          <w:szCs w:val="21"/>
        </w:rPr>
        <w:t>encoded</w:t>
      </w:r>
      <w:r w:rsidRPr="001A059E">
        <w:rPr>
          <w:sz w:val="21"/>
          <w:szCs w:val="21"/>
        </w:rPr>
        <w:t xml:space="preserve"> protein</w:t>
      </w:r>
      <w:r>
        <w:rPr>
          <w:sz w:val="21"/>
          <w:szCs w:val="21"/>
        </w:rPr>
        <w:t>,</w:t>
      </w:r>
      <w:r w:rsidRPr="001A059E">
        <w:rPr>
          <w:sz w:val="21"/>
          <w:szCs w:val="21"/>
        </w:rPr>
        <w:t xml:space="preserve"> e.g. TFAM</w:t>
      </w:r>
      <w:r>
        <w:rPr>
          <w:sz w:val="21"/>
          <w:szCs w:val="21"/>
        </w:rPr>
        <w:t>,</w:t>
      </w:r>
      <w:r w:rsidRPr="001A059E">
        <w:rPr>
          <w:sz w:val="21"/>
          <w:szCs w:val="21"/>
        </w:rPr>
        <w:t xml:space="preserve"> may be useful here </w:t>
      </w:r>
    </w:p>
    <w:p w14:paraId="6C452B49" w14:textId="5C1F1B16" w:rsidR="001A059E" w:rsidRDefault="001A059E" w:rsidP="001A059E">
      <w:pPr>
        <w:rPr>
          <w:sz w:val="21"/>
        </w:rPr>
      </w:pPr>
      <w:r>
        <w:rPr>
          <w:sz w:val="21"/>
          <w:u w:val="single"/>
        </w:rPr>
        <w:t>Line 377:</w:t>
      </w:r>
      <w:r>
        <w:rPr>
          <w:sz w:val="21"/>
        </w:rPr>
        <w:t xml:space="preserve"> Adenosine is one word</w:t>
      </w:r>
    </w:p>
    <w:p w14:paraId="305F1042" w14:textId="5472AE20" w:rsidR="001A059E" w:rsidRDefault="001A059E" w:rsidP="001A059E">
      <w:pPr>
        <w:rPr>
          <w:sz w:val="21"/>
        </w:rPr>
      </w:pPr>
      <w:r>
        <w:rPr>
          <w:sz w:val="21"/>
          <w:u w:val="single"/>
        </w:rPr>
        <w:t>Line 379:</w:t>
      </w:r>
      <w:r>
        <w:rPr>
          <w:sz w:val="21"/>
        </w:rPr>
        <w:t xml:space="preserve"> The ‘of’ following despite should be removed</w:t>
      </w:r>
    </w:p>
    <w:p w14:paraId="434CE77F" w14:textId="112BD596" w:rsidR="001A059E" w:rsidRPr="001A059E" w:rsidRDefault="001A059E" w:rsidP="001A059E">
      <w:pPr>
        <w:rPr>
          <w:sz w:val="21"/>
        </w:rPr>
      </w:pPr>
      <w:r>
        <w:rPr>
          <w:sz w:val="21"/>
          <w:u w:val="single"/>
        </w:rPr>
        <w:t>Line 383</w:t>
      </w:r>
      <w:r>
        <w:rPr>
          <w:sz w:val="21"/>
        </w:rPr>
        <w:t xml:space="preserve">: References: </w:t>
      </w:r>
      <w:r w:rsidRPr="001A059E">
        <w:rPr>
          <w:sz w:val="21"/>
        </w:rPr>
        <w:t>Korn, E. Cell membranes: structure and synthesis. Annu. Rev. Biochem. 38,</w:t>
      </w:r>
    </w:p>
    <w:p w14:paraId="29E26FEE" w14:textId="11895C97" w:rsidR="001A059E" w:rsidRPr="001A059E" w:rsidRDefault="001A059E" w:rsidP="001A059E">
      <w:pPr>
        <w:rPr>
          <w:sz w:val="21"/>
        </w:rPr>
      </w:pPr>
      <w:r>
        <w:rPr>
          <w:sz w:val="21"/>
        </w:rPr>
        <w:t xml:space="preserve">263–288 (1969). </w:t>
      </w:r>
      <w:r w:rsidRPr="001A059E">
        <w:rPr>
          <w:sz w:val="21"/>
        </w:rPr>
        <w:t>Comte, J., Maisterrena, B. &amp; Gautheron, D.C. Lipid composition and protein</w:t>
      </w:r>
    </w:p>
    <w:p w14:paraId="6EECD3DA" w14:textId="77777777" w:rsidR="001A059E" w:rsidRPr="001A059E" w:rsidRDefault="001A059E" w:rsidP="001A059E">
      <w:pPr>
        <w:rPr>
          <w:sz w:val="21"/>
        </w:rPr>
      </w:pPr>
      <w:r w:rsidRPr="001A059E">
        <w:rPr>
          <w:sz w:val="21"/>
        </w:rPr>
        <w:t>profiles of outer and inner membranes from pig heart mitochondria comparison</w:t>
      </w:r>
    </w:p>
    <w:p w14:paraId="4E8ED7F1" w14:textId="59AD9DA7" w:rsidR="001A059E" w:rsidRDefault="001A059E" w:rsidP="001A059E">
      <w:pPr>
        <w:rPr>
          <w:sz w:val="21"/>
        </w:rPr>
      </w:pPr>
      <w:r w:rsidRPr="001A059E">
        <w:rPr>
          <w:sz w:val="21"/>
        </w:rPr>
        <w:t>with microsomes. Biochim. Biophys. Acta 419, 271–284 (1976).</w:t>
      </w:r>
    </w:p>
    <w:p w14:paraId="7485F86A" w14:textId="545FE6E7" w:rsidR="001A059E" w:rsidRDefault="001A059E" w:rsidP="001A059E">
      <w:pPr>
        <w:rPr>
          <w:sz w:val="21"/>
        </w:rPr>
      </w:pPr>
      <w:r>
        <w:rPr>
          <w:sz w:val="21"/>
          <w:u w:val="single"/>
        </w:rPr>
        <w:t>Line 387</w:t>
      </w:r>
      <w:r>
        <w:rPr>
          <w:sz w:val="21"/>
        </w:rPr>
        <w:t xml:space="preserve">: Reference: </w:t>
      </w:r>
      <w:r w:rsidRPr="001A059E">
        <w:rPr>
          <w:sz w:val="21"/>
        </w:rPr>
        <w:t>Saks, V.A. et al. Permeabilized cell and skinned</w:t>
      </w:r>
      <w:r>
        <w:rPr>
          <w:sz w:val="21"/>
        </w:rPr>
        <w:t xml:space="preserve"> fiber techniques in studies of </w:t>
      </w:r>
      <w:r w:rsidRPr="001A059E">
        <w:rPr>
          <w:sz w:val="21"/>
        </w:rPr>
        <w:t>mitochondrial function in vivo. Mol. Cell. Biochem. 184, 81–100 (1998).</w:t>
      </w:r>
    </w:p>
    <w:p w14:paraId="7E2A10D8" w14:textId="1543C5FF" w:rsidR="001A059E" w:rsidRDefault="001A059E" w:rsidP="001A059E">
      <w:pPr>
        <w:rPr>
          <w:sz w:val="21"/>
        </w:rPr>
      </w:pPr>
      <w:r>
        <w:rPr>
          <w:sz w:val="21"/>
          <w:u w:val="single"/>
        </w:rPr>
        <w:t>Line 402</w:t>
      </w:r>
      <w:r>
        <w:rPr>
          <w:sz w:val="21"/>
        </w:rPr>
        <w:t>: An appropriate reference for the recovery ranges should be included</w:t>
      </w:r>
    </w:p>
    <w:p w14:paraId="640F7A83" w14:textId="0574798D" w:rsidR="001A059E" w:rsidRDefault="001A059E" w:rsidP="001A059E">
      <w:pPr>
        <w:rPr>
          <w:sz w:val="21"/>
        </w:rPr>
      </w:pPr>
      <w:r>
        <w:rPr>
          <w:sz w:val="21"/>
          <w:u w:val="single"/>
        </w:rPr>
        <w:t>Line 404</w:t>
      </w:r>
      <w:r>
        <w:rPr>
          <w:sz w:val="21"/>
        </w:rPr>
        <w:t>: An appropriate reference for this methodology should be included</w:t>
      </w:r>
    </w:p>
    <w:p w14:paraId="6067C307" w14:textId="061F1C7F" w:rsidR="001A059E" w:rsidRDefault="001A059E" w:rsidP="001A059E">
      <w:pPr>
        <w:rPr>
          <w:sz w:val="21"/>
        </w:rPr>
      </w:pPr>
      <w:r>
        <w:rPr>
          <w:sz w:val="21"/>
          <w:u w:val="single"/>
        </w:rPr>
        <w:t>Line 471:</w:t>
      </w:r>
      <w:r>
        <w:rPr>
          <w:sz w:val="21"/>
        </w:rPr>
        <w:t xml:space="preserve"> Figure 2 is a little difficult to read. This could be improved by limiting the number of arrows used, and (line 488) defining what colour the dashed arrows or (line 503) dotted arrows are to clarify descriptions. </w:t>
      </w:r>
    </w:p>
    <w:p w14:paraId="7294F579" w14:textId="71FDCE33" w:rsidR="001A059E" w:rsidRDefault="001A059E" w:rsidP="001A059E">
      <w:pPr>
        <w:rPr>
          <w:sz w:val="21"/>
        </w:rPr>
      </w:pPr>
      <w:r>
        <w:rPr>
          <w:sz w:val="21"/>
          <w:u w:val="single"/>
        </w:rPr>
        <w:t>Line 505:</w:t>
      </w:r>
      <w:r>
        <w:rPr>
          <w:sz w:val="21"/>
        </w:rPr>
        <w:t xml:space="preserve"> A clearer definition of H</w:t>
      </w:r>
      <w:r>
        <w:rPr>
          <w:sz w:val="21"/>
          <w:vertAlign w:val="superscript"/>
        </w:rPr>
        <w:t>+</w:t>
      </w:r>
      <w:r>
        <w:rPr>
          <w:sz w:val="21"/>
          <w:vertAlign w:val="subscript"/>
        </w:rPr>
        <w:t>pos</w:t>
      </w:r>
      <w:r>
        <w:rPr>
          <w:sz w:val="21"/>
        </w:rPr>
        <w:t xml:space="preserve"> and H</w:t>
      </w:r>
      <w:r>
        <w:rPr>
          <w:sz w:val="21"/>
          <w:vertAlign w:val="superscript"/>
        </w:rPr>
        <w:t>+</w:t>
      </w:r>
      <w:r>
        <w:rPr>
          <w:sz w:val="21"/>
          <w:vertAlign w:val="subscript"/>
        </w:rPr>
        <w:t>neg</w:t>
      </w:r>
      <w:r>
        <w:rPr>
          <w:sz w:val="21"/>
        </w:rPr>
        <w:t xml:space="preserve"> would be helpful, perhaps included in a caption for equation 1 (line 524)</w:t>
      </w:r>
    </w:p>
    <w:p w14:paraId="054B79A8" w14:textId="30DC623B" w:rsidR="001A059E" w:rsidRDefault="001A059E" w:rsidP="001A059E">
      <w:pPr>
        <w:rPr>
          <w:sz w:val="21"/>
        </w:rPr>
      </w:pPr>
      <w:r>
        <w:rPr>
          <w:sz w:val="21"/>
          <w:u w:val="single"/>
        </w:rPr>
        <w:t>Line 528:</w:t>
      </w:r>
      <w:r>
        <w:rPr>
          <w:sz w:val="21"/>
        </w:rPr>
        <w:t xml:space="preserve"> Define catabolic-ET pathway</w:t>
      </w:r>
    </w:p>
    <w:p w14:paraId="11B133E6" w14:textId="6DC9E226" w:rsidR="001A059E" w:rsidRDefault="001A059E" w:rsidP="001A059E">
      <w:pPr>
        <w:rPr>
          <w:sz w:val="21"/>
        </w:rPr>
      </w:pPr>
      <w:r>
        <w:rPr>
          <w:sz w:val="21"/>
          <w:u w:val="single"/>
        </w:rPr>
        <w:t>Line 543:</w:t>
      </w:r>
      <w:r>
        <w:rPr>
          <w:sz w:val="21"/>
        </w:rPr>
        <w:t xml:space="preserve"> A short definition of dyscoupling at this first use should be include, or alternatively, a reference to its definition later in the text</w:t>
      </w:r>
    </w:p>
    <w:p w14:paraId="74F5BAB2" w14:textId="365F5BFB" w:rsidR="00F3208B" w:rsidRDefault="00F3208B" w:rsidP="001A059E">
      <w:pPr>
        <w:rPr>
          <w:sz w:val="21"/>
        </w:rPr>
      </w:pPr>
      <w:r w:rsidRPr="00F3208B">
        <w:rPr>
          <w:sz w:val="21"/>
          <w:u w:val="single"/>
        </w:rPr>
        <w:t>Line 563</w:t>
      </w:r>
      <w:r w:rsidRPr="00F3208B">
        <w:rPr>
          <w:sz w:val="21"/>
        </w:rPr>
        <w:t xml:space="preserve">: “transcription factor HIF1” </w:t>
      </w:r>
      <w:r>
        <w:rPr>
          <w:sz w:val="21"/>
        </w:rPr>
        <w:t xml:space="preserve">seems grammatically incorrect, it would be more correct </w:t>
      </w:r>
      <w:r w:rsidR="00996C63">
        <w:rPr>
          <w:sz w:val="21"/>
        </w:rPr>
        <w:t>to say “</w:t>
      </w:r>
      <w:r w:rsidRPr="00F3208B">
        <w:rPr>
          <w:sz w:val="21"/>
        </w:rPr>
        <w:t>transcription factor</w:t>
      </w:r>
      <w:r w:rsidR="00565FD5">
        <w:rPr>
          <w:sz w:val="21"/>
        </w:rPr>
        <w:t xml:space="preserve">s such as </w:t>
      </w:r>
      <w:r w:rsidR="00996C63">
        <w:rPr>
          <w:sz w:val="21"/>
        </w:rPr>
        <w:t>HIF1”</w:t>
      </w:r>
    </w:p>
    <w:p w14:paraId="03587ED5" w14:textId="6E70CD5B" w:rsidR="00565FD5" w:rsidRDefault="00565FD5" w:rsidP="001A059E">
      <w:pPr>
        <w:rPr>
          <w:sz w:val="21"/>
        </w:rPr>
      </w:pPr>
      <w:r w:rsidRPr="00565FD5">
        <w:rPr>
          <w:sz w:val="21"/>
          <w:u w:val="single"/>
        </w:rPr>
        <w:t>Line 569</w:t>
      </w:r>
      <w:r w:rsidRPr="00565FD5">
        <w:rPr>
          <w:sz w:val="21"/>
        </w:rPr>
        <w:t xml:space="preserve">: An example of a hormone affecting mitochondria </w:t>
      </w:r>
      <w:r>
        <w:rPr>
          <w:sz w:val="21"/>
        </w:rPr>
        <w:t>might</w:t>
      </w:r>
      <w:r w:rsidRPr="00565FD5">
        <w:rPr>
          <w:sz w:val="21"/>
        </w:rPr>
        <w:t xml:space="preserve"> be nice</w:t>
      </w:r>
      <w:r w:rsidR="0061682A">
        <w:rPr>
          <w:sz w:val="21"/>
        </w:rPr>
        <w:t xml:space="preserve"> e.g. progesterone and glucacorticoids</w:t>
      </w:r>
    </w:p>
    <w:p w14:paraId="0C303CE3" w14:textId="57FAC83C" w:rsidR="000A1533" w:rsidRDefault="000A1533" w:rsidP="000A1533">
      <w:pPr>
        <w:rPr>
          <w:sz w:val="21"/>
        </w:rPr>
      </w:pPr>
      <w:r>
        <w:rPr>
          <w:sz w:val="21"/>
          <w:u w:val="single"/>
        </w:rPr>
        <w:t>Line 5</w:t>
      </w:r>
      <w:r w:rsidRPr="00565FD5">
        <w:rPr>
          <w:sz w:val="21"/>
          <w:u w:val="single"/>
        </w:rPr>
        <w:t>9</w:t>
      </w:r>
      <w:r>
        <w:rPr>
          <w:sz w:val="21"/>
          <w:u w:val="single"/>
        </w:rPr>
        <w:t>7-598</w:t>
      </w:r>
      <w:r w:rsidRPr="00565FD5">
        <w:rPr>
          <w:sz w:val="21"/>
        </w:rPr>
        <w:t xml:space="preserve">: </w:t>
      </w:r>
      <w:r w:rsidR="00A44360">
        <w:rPr>
          <w:sz w:val="21"/>
        </w:rPr>
        <w:t>Replacing dashes with commas will make this sentence clearer</w:t>
      </w:r>
    </w:p>
    <w:p w14:paraId="4AE084E1" w14:textId="7D6D1EDA" w:rsidR="00A44360" w:rsidRDefault="007D72D1" w:rsidP="000A1533">
      <w:pPr>
        <w:rPr>
          <w:sz w:val="21"/>
        </w:rPr>
      </w:pPr>
      <w:r w:rsidRPr="007D72D1">
        <w:rPr>
          <w:sz w:val="21"/>
          <w:u w:val="single"/>
        </w:rPr>
        <w:t>Line 611</w:t>
      </w:r>
      <w:r>
        <w:rPr>
          <w:sz w:val="21"/>
        </w:rPr>
        <w:t>: Short circuit should be two words</w:t>
      </w:r>
    </w:p>
    <w:p w14:paraId="5E458F86" w14:textId="6783BE94" w:rsidR="007D72D1" w:rsidRDefault="004B6542" w:rsidP="000A1533">
      <w:pPr>
        <w:rPr>
          <w:sz w:val="21"/>
        </w:rPr>
      </w:pPr>
      <w:r>
        <w:rPr>
          <w:sz w:val="21"/>
          <w:u w:val="single"/>
        </w:rPr>
        <w:t>Line 621</w:t>
      </w:r>
      <w:r>
        <w:rPr>
          <w:sz w:val="21"/>
        </w:rPr>
        <w:t xml:space="preserve">: </w:t>
      </w:r>
      <w:r w:rsidR="00C90316">
        <w:rPr>
          <w:i/>
          <w:sz w:val="21"/>
        </w:rPr>
        <w:t>(related to line 142)</w:t>
      </w:r>
      <w:r w:rsidR="00C90316">
        <w:rPr>
          <w:sz w:val="21"/>
        </w:rPr>
        <w:t xml:space="preserve"> the use of the words vectorial and scalar, without an obvious definition, may increase confusion, </w:t>
      </w:r>
      <w:r w:rsidR="004322D0">
        <w:rPr>
          <w:sz w:val="21"/>
        </w:rPr>
        <w:t xml:space="preserve">and don’t </w:t>
      </w:r>
      <w:r w:rsidR="004322D0" w:rsidRPr="0061682A">
        <w:rPr>
          <w:color w:val="000000" w:themeColor="text1"/>
          <w:sz w:val="21"/>
        </w:rPr>
        <w:t xml:space="preserve">add </w:t>
      </w:r>
      <w:r w:rsidR="0061682A" w:rsidRPr="0061682A">
        <w:rPr>
          <w:color w:val="000000" w:themeColor="text1"/>
          <w:sz w:val="21"/>
        </w:rPr>
        <w:t xml:space="preserve">much </w:t>
      </w:r>
      <w:r w:rsidR="004322D0">
        <w:rPr>
          <w:sz w:val="21"/>
        </w:rPr>
        <w:t>to the description of the states</w:t>
      </w:r>
    </w:p>
    <w:p w14:paraId="46D3637D" w14:textId="7A6130A4" w:rsidR="004322D0" w:rsidRDefault="004322D0" w:rsidP="000A1533">
      <w:pPr>
        <w:rPr>
          <w:sz w:val="21"/>
        </w:rPr>
      </w:pPr>
      <w:r>
        <w:rPr>
          <w:sz w:val="21"/>
          <w:u w:val="single"/>
        </w:rPr>
        <w:t>Line</w:t>
      </w:r>
      <w:r w:rsidR="00BE4FE5">
        <w:rPr>
          <w:sz w:val="21"/>
          <w:u w:val="single"/>
        </w:rPr>
        <w:t xml:space="preserve"> 632</w:t>
      </w:r>
      <w:r w:rsidR="00BE4FE5">
        <w:rPr>
          <w:sz w:val="21"/>
        </w:rPr>
        <w:t>: T</w:t>
      </w:r>
      <w:r w:rsidR="00BE4FE5" w:rsidRPr="00BE4FE5">
        <w:rPr>
          <w:sz w:val="21"/>
        </w:rPr>
        <w:t>he use of the terminology “irreversibly lost” when talking about exergy is confusing given that early in the paragraph it is stated that “energy cannot be lost”; it may be clearer to just say “irreversibly dissipated” here</w:t>
      </w:r>
    </w:p>
    <w:p w14:paraId="7D940AAC" w14:textId="5D4C876E" w:rsidR="00BE4FE5" w:rsidRDefault="00932410" w:rsidP="000A1533">
      <w:pPr>
        <w:rPr>
          <w:sz w:val="21"/>
        </w:rPr>
      </w:pPr>
      <w:r>
        <w:rPr>
          <w:sz w:val="21"/>
          <w:u w:val="single"/>
        </w:rPr>
        <w:t>Line 638</w:t>
      </w:r>
      <w:r>
        <w:rPr>
          <w:sz w:val="21"/>
        </w:rPr>
        <w:t xml:space="preserve">: </w:t>
      </w:r>
      <w:r w:rsidR="00950CDA">
        <w:rPr>
          <w:sz w:val="21"/>
        </w:rPr>
        <w:t>A</w:t>
      </w:r>
      <w:r w:rsidR="0061682A">
        <w:rPr>
          <w:sz w:val="21"/>
        </w:rPr>
        <w:t>n</w:t>
      </w:r>
      <w:r w:rsidR="0061682A" w:rsidRPr="0061682A">
        <w:rPr>
          <w:color w:val="000000" w:themeColor="text1"/>
          <w:sz w:val="21"/>
        </w:rPr>
        <w:t xml:space="preserve"> appropriate</w:t>
      </w:r>
      <w:r w:rsidR="00950CDA" w:rsidRPr="0061682A">
        <w:rPr>
          <w:color w:val="000000" w:themeColor="text1"/>
          <w:sz w:val="21"/>
        </w:rPr>
        <w:t xml:space="preserve"> </w:t>
      </w:r>
      <w:r w:rsidR="00950CDA">
        <w:rPr>
          <w:sz w:val="21"/>
        </w:rPr>
        <w:t>reference f</w:t>
      </w:r>
      <w:r w:rsidR="00D37F70">
        <w:rPr>
          <w:sz w:val="21"/>
        </w:rPr>
        <w:t>or the statement about cation cycling would be useful</w:t>
      </w:r>
    </w:p>
    <w:p w14:paraId="16D11A8B" w14:textId="3E6C2343" w:rsidR="00D37F70" w:rsidRDefault="00D37F70" w:rsidP="000A1533">
      <w:pPr>
        <w:rPr>
          <w:sz w:val="21"/>
        </w:rPr>
      </w:pPr>
      <w:r>
        <w:rPr>
          <w:sz w:val="21"/>
          <w:u w:val="single"/>
        </w:rPr>
        <w:t>Line 649</w:t>
      </w:r>
      <w:r>
        <w:rPr>
          <w:sz w:val="21"/>
        </w:rPr>
        <w:t xml:space="preserve">: </w:t>
      </w:r>
      <w:r w:rsidR="006A2509">
        <w:rPr>
          <w:sz w:val="21"/>
        </w:rPr>
        <w:t>Figure 4: red. and ox. should be defined in the figure legend</w:t>
      </w:r>
    </w:p>
    <w:p w14:paraId="295ABB5C" w14:textId="092E4420" w:rsidR="00F47DA7" w:rsidRDefault="004B6AE6" w:rsidP="000A1533">
      <w:pPr>
        <w:rPr>
          <w:sz w:val="21"/>
        </w:rPr>
      </w:pPr>
      <w:r>
        <w:rPr>
          <w:sz w:val="21"/>
          <w:u w:val="single"/>
        </w:rPr>
        <w:t>Line 744</w:t>
      </w:r>
      <w:r>
        <w:rPr>
          <w:sz w:val="21"/>
        </w:rPr>
        <w:t>: “Proton leak is a leak current of protons” does not add to the definiti</w:t>
      </w:r>
      <w:r w:rsidR="00F47DA7">
        <w:rPr>
          <w:sz w:val="21"/>
        </w:rPr>
        <w:t>on that is included the rest of the paragraph and therefore could be removed</w:t>
      </w:r>
    </w:p>
    <w:p w14:paraId="4EF83306" w14:textId="5D72FA8A" w:rsidR="00F47DA7" w:rsidRDefault="00144F24" w:rsidP="000A1533">
      <w:pPr>
        <w:rPr>
          <w:sz w:val="21"/>
        </w:rPr>
      </w:pPr>
      <w:r w:rsidRPr="00144F24">
        <w:rPr>
          <w:sz w:val="21"/>
          <w:u w:val="single"/>
        </w:rPr>
        <w:t>Line 846</w:t>
      </w:r>
      <w:r w:rsidRPr="00144F24">
        <w:rPr>
          <w:sz w:val="21"/>
        </w:rPr>
        <w:t>: A mention about the fact that antimycin A can also lead to increased ROS production is pertinent (ref: Turrens et al. 1985; Cadenas et al. 1977)</w:t>
      </w:r>
    </w:p>
    <w:p w14:paraId="1F025614" w14:textId="1908F7E7" w:rsidR="007A404B" w:rsidRDefault="007A404B" w:rsidP="000A1533">
      <w:pPr>
        <w:rPr>
          <w:sz w:val="21"/>
        </w:rPr>
      </w:pPr>
      <w:r w:rsidRPr="007A404B">
        <w:rPr>
          <w:sz w:val="21"/>
          <w:u w:val="single"/>
        </w:rPr>
        <w:t>Line 874</w:t>
      </w:r>
      <w:r w:rsidRPr="007A404B">
        <w:rPr>
          <w:sz w:val="21"/>
        </w:rPr>
        <w:t xml:space="preserve">: </w:t>
      </w:r>
      <w:r w:rsidR="007654FE">
        <w:rPr>
          <w:sz w:val="21"/>
        </w:rPr>
        <w:t xml:space="preserve">This paragraph doesn’t consider situations </w:t>
      </w:r>
      <w:r w:rsidRPr="007A404B">
        <w:rPr>
          <w:sz w:val="21"/>
        </w:rPr>
        <w:t>where E=P</w:t>
      </w:r>
      <w:r w:rsidR="007654FE">
        <w:rPr>
          <w:sz w:val="21"/>
        </w:rPr>
        <w:t xml:space="preserve">; for example, </w:t>
      </w:r>
      <w:r w:rsidRPr="007A404B">
        <w:rPr>
          <w:sz w:val="21"/>
        </w:rPr>
        <w:t xml:space="preserve"> in the rat heart</w:t>
      </w:r>
      <w:r w:rsidR="007179DB">
        <w:rPr>
          <w:sz w:val="21"/>
        </w:rPr>
        <w:t xml:space="preserve"> we find that</w:t>
      </w:r>
      <w:r w:rsidRPr="007A404B">
        <w:rPr>
          <w:sz w:val="21"/>
        </w:rPr>
        <w:t xml:space="preserve"> </w:t>
      </w:r>
      <w:r w:rsidR="007654FE">
        <w:rPr>
          <w:sz w:val="21"/>
        </w:rPr>
        <w:t xml:space="preserve">addition of </w:t>
      </w:r>
      <w:r w:rsidRPr="007A404B">
        <w:rPr>
          <w:sz w:val="21"/>
        </w:rPr>
        <w:t xml:space="preserve"> </w:t>
      </w:r>
      <w:r w:rsidR="007654FE">
        <w:rPr>
          <w:sz w:val="21"/>
        </w:rPr>
        <w:t>FCCP</w:t>
      </w:r>
      <w:r w:rsidRPr="007A404B">
        <w:rPr>
          <w:sz w:val="21"/>
        </w:rPr>
        <w:t xml:space="preserve"> leads to inhibition and the apparent arrival of E&lt;P</w:t>
      </w:r>
    </w:p>
    <w:p w14:paraId="081B1D1B" w14:textId="0C9BB7D6" w:rsidR="00E01ACE" w:rsidRDefault="00E01ACE" w:rsidP="000A1533">
      <w:pPr>
        <w:rPr>
          <w:sz w:val="21"/>
        </w:rPr>
      </w:pPr>
      <w:r>
        <w:rPr>
          <w:sz w:val="21"/>
          <w:u w:val="single"/>
        </w:rPr>
        <w:lastRenderedPageBreak/>
        <w:t>Line 902</w:t>
      </w:r>
      <w:r>
        <w:rPr>
          <w:sz w:val="21"/>
        </w:rPr>
        <w:t xml:space="preserve">: This section is highlighting the flaws of existing terminology; might it be better to include this earlier in the article </w:t>
      </w:r>
      <w:r w:rsidR="003E1582">
        <w:rPr>
          <w:sz w:val="21"/>
        </w:rPr>
        <w:t>to help justify the need for new terminology</w:t>
      </w:r>
    </w:p>
    <w:p w14:paraId="4CE84071" w14:textId="156590BE" w:rsidR="003B5D0F" w:rsidRDefault="003B5D0F" w:rsidP="000A1533">
      <w:pPr>
        <w:rPr>
          <w:sz w:val="21"/>
        </w:rPr>
      </w:pPr>
      <w:r w:rsidRPr="003B5D0F">
        <w:rPr>
          <w:sz w:val="21"/>
          <w:u w:val="single"/>
        </w:rPr>
        <w:t>Line 116</w:t>
      </w:r>
      <w:r w:rsidR="00B64ADD">
        <w:rPr>
          <w:sz w:val="21"/>
          <w:u w:val="single"/>
        </w:rPr>
        <w:t>6</w:t>
      </w:r>
      <w:r w:rsidRPr="003B5D0F">
        <w:rPr>
          <w:sz w:val="21"/>
        </w:rPr>
        <w:t>: Is there a preference with using wet or dry weight, and how does this confound results in cases where there is possible tissue oedema</w:t>
      </w:r>
      <w:r>
        <w:rPr>
          <w:sz w:val="21"/>
        </w:rPr>
        <w:t>?</w:t>
      </w:r>
    </w:p>
    <w:p w14:paraId="7C6AB4E3" w14:textId="445D983F" w:rsidR="00181876" w:rsidRDefault="00181876" w:rsidP="00181876">
      <w:pPr>
        <w:rPr>
          <w:sz w:val="21"/>
        </w:rPr>
      </w:pPr>
      <w:r w:rsidRPr="00181876">
        <w:rPr>
          <w:sz w:val="21"/>
          <w:u w:val="single"/>
        </w:rPr>
        <w:t>Line 124</w:t>
      </w:r>
      <w:r w:rsidR="00AB432D">
        <w:rPr>
          <w:sz w:val="21"/>
          <w:u w:val="single"/>
        </w:rPr>
        <w:t>8</w:t>
      </w:r>
      <w:r>
        <w:rPr>
          <w:sz w:val="21"/>
        </w:rPr>
        <w:t>: The</w:t>
      </w:r>
      <w:r w:rsidR="003C3FBD">
        <w:rPr>
          <w:sz w:val="21"/>
        </w:rPr>
        <w:t xml:space="preserve"> included quotation may not be necessary in this paragraph, as the point which it is relating to is made earlier on in the paper</w:t>
      </w:r>
    </w:p>
    <w:p w14:paraId="55A678D6" w14:textId="5BF17942" w:rsidR="00251CE7" w:rsidRDefault="00251CE7" w:rsidP="00181876">
      <w:pPr>
        <w:rPr>
          <w:sz w:val="21"/>
        </w:rPr>
      </w:pPr>
      <w:r>
        <w:rPr>
          <w:sz w:val="21"/>
          <w:u w:val="single"/>
        </w:rPr>
        <w:t>Line 1327</w:t>
      </w:r>
      <w:r>
        <w:rPr>
          <w:sz w:val="21"/>
        </w:rPr>
        <w:t>:</w:t>
      </w:r>
      <w:r w:rsidR="00FD7E88">
        <w:rPr>
          <w:sz w:val="21"/>
        </w:rPr>
        <w:t xml:space="preserve"> If citrate synthase activity</w:t>
      </w:r>
      <w:r w:rsidR="0061682A">
        <w:rPr>
          <w:sz w:val="21"/>
        </w:rPr>
        <w:t xml:space="preserve"> (CS)</w:t>
      </w:r>
      <w:r w:rsidR="00FD7E88">
        <w:rPr>
          <w:sz w:val="21"/>
        </w:rPr>
        <w:t xml:space="preserve"> is modified</w:t>
      </w:r>
      <w:r w:rsidR="0061682A">
        <w:rPr>
          <w:sz w:val="21"/>
        </w:rPr>
        <w:t xml:space="preserve"> acutely</w:t>
      </w:r>
      <w:r w:rsidR="00FD7E88">
        <w:rPr>
          <w:sz w:val="21"/>
        </w:rPr>
        <w:t xml:space="preserve"> by a physiological challenge</w:t>
      </w:r>
      <w:r w:rsidR="00937C69">
        <w:rPr>
          <w:sz w:val="21"/>
        </w:rPr>
        <w:t xml:space="preserve"> such as exercise, d</w:t>
      </w:r>
      <w:r w:rsidR="00FD7E88">
        <w:rPr>
          <w:sz w:val="21"/>
        </w:rPr>
        <w:t xml:space="preserve">oes this </w:t>
      </w:r>
      <w:r w:rsidR="0061682A">
        <w:rPr>
          <w:sz w:val="21"/>
        </w:rPr>
        <w:t>limit the use of CS as a marker?</w:t>
      </w:r>
    </w:p>
    <w:p w14:paraId="29DBCDB4" w14:textId="70FD138F" w:rsidR="00937C69" w:rsidRDefault="004C2D97" w:rsidP="00181876">
      <w:pPr>
        <w:rPr>
          <w:sz w:val="21"/>
        </w:rPr>
      </w:pPr>
      <w:r>
        <w:rPr>
          <w:sz w:val="21"/>
          <w:u w:val="single"/>
        </w:rPr>
        <w:t>Line 1475</w:t>
      </w:r>
      <w:r>
        <w:rPr>
          <w:sz w:val="21"/>
        </w:rPr>
        <w:t xml:space="preserve">: </w:t>
      </w:r>
      <w:r w:rsidR="00E272E3">
        <w:rPr>
          <w:sz w:val="21"/>
        </w:rPr>
        <w:t>Where possible t</w:t>
      </w:r>
      <w:r>
        <w:rPr>
          <w:sz w:val="21"/>
        </w:rPr>
        <w:t xml:space="preserve">he subpopulation </w:t>
      </w:r>
      <w:r w:rsidR="00010A89">
        <w:rPr>
          <w:sz w:val="21"/>
        </w:rPr>
        <w:t>of mitochondria utilised in stud</w:t>
      </w:r>
      <w:r w:rsidR="006D1444">
        <w:rPr>
          <w:sz w:val="21"/>
        </w:rPr>
        <w:t>ies should also be defined</w:t>
      </w:r>
    </w:p>
    <w:p w14:paraId="37E45288" w14:textId="7508D735" w:rsidR="00E272E3" w:rsidRPr="00E272E3" w:rsidRDefault="00E272E3" w:rsidP="00181876">
      <w:pPr>
        <w:rPr>
          <w:sz w:val="21"/>
        </w:rPr>
      </w:pPr>
      <w:r>
        <w:rPr>
          <w:sz w:val="21"/>
          <w:u w:val="single"/>
        </w:rPr>
        <w:t>Line 1502</w:t>
      </w:r>
      <w:r>
        <w:rPr>
          <w:sz w:val="21"/>
        </w:rPr>
        <w:t>: Table 8 is useful summary of the terminology; its presence should be highlighted earlier in the paper.</w:t>
      </w:r>
    </w:p>
    <w:p w14:paraId="03E6CFAF" w14:textId="77777777" w:rsidR="003C3FBD" w:rsidRPr="00181876" w:rsidRDefault="003C3FBD" w:rsidP="00181876">
      <w:pPr>
        <w:rPr>
          <w:sz w:val="21"/>
          <w:u w:val="single"/>
        </w:rPr>
      </w:pPr>
    </w:p>
    <w:p w14:paraId="300BAF48" w14:textId="04FDC5D8" w:rsidR="003E1582" w:rsidRPr="003E1582" w:rsidRDefault="003E1582" w:rsidP="000A1533">
      <w:pPr>
        <w:rPr>
          <w:sz w:val="21"/>
          <w:u w:val="single"/>
        </w:rPr>
      </w:pPr>
    </w:p>
    <w:p w14:paraId="319C830B" w14:textId="77777777" w:rsidR="000A1533" w:rsidRPr="001A059E" w:rsidRDefault="000A1533" w:rsidP="000A1533">
      <w:pPr>
        <w:rPr>
          <w:sz w:val="21"/>
        </w:rPr>
      </w:pPr>
    </w:p>
    <w:p w14:paraId="398D2E2C" w14:textId="77777777" w:rsidR="001A059E" w:rsidRPr="001A059E" w:rsidRDefault="001A059E" w:rsidP="001A059E">
      <w:pPr>
        <w:rPr>
          <w:sz w:val="21"/>
        </w:rPr>
      </w:pPr>
    </w:p>
    <w:p w14:paraId="796409F0" w14:textId="77777777" w:rsidR="001A059E" w:rsidRPr="001A059E" w:rsidRDefault="001A059E" w:rsidP="001A059E">
      <w:pPr>
        <w:rPr>
          <w:sz w:val="21"/>
        </w:rPr>
      </w:pPr>
    </w:p>
    <w:p w14:paraId="2034678C" w14:textId="77777777" w:rsidR="001A059E" w:rsidRPr="001A059E" w:rsidRDefault="001A059E">
      <w:pPr>
        <w:rPr>
          <w:sz w:val="21"/>
        </w:rPr>
      </w:pPr>
    </w:p>
    <w:sectPr w:rsidR="001A059E" w:rsidRPr="001A059E" w:rsidSect="00DF5B4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9E"/>
    <w:rsid w:val="00010A89"/>
    <w:rsid w:val="000A1533"/>
    <w:rsid w:val="00144F24"/>
    <w:rsid w:val="00181876"/>
    <w:rsid w:val="001A059E"/>
    <w:rsid w:val="00251CE7"/>
    <w:rsid w:val="002A10D7"/>
    <w:rsid w:val="0032456E"/>
    <w:rsid w:val="003B5D0F"/>
    <w:rsid w:val="003C3FBD"/>
    <w:rsid w:val="003E1582"/>
    <w:rsid w:val="004322D0"/>
    <w:rsid w:val="004B6542"/>
    <w:rsid w:val="004B6AE6"/>
    <w:rsid w:val="004C2D97"/>
    <w:rsid w:val="00552F02"/>
    <w:rsid w:val="00565FD5"/>
    <w:rsid w:val="0061682A"/>
    <w:rsid w:val="006823E2"/>
    <w:rsid w:val="006A2509"/>
    <w:rsid w:val="006D1444"/>
    <w:rsid w:val="006D70F3"/>
    <w:rsid w:val="007179DB"/>
    <w:rsid w:val="007654FE"/>
    <w:rsid w:val="007A404B"/>
    <w:rsid w:val="007D72D1"/>
    <w:rsid w:val="007E54F3"/>
    <w:rsid w:val="007F5A48"/>
    <w:rsid w:val="00881B27"/>
    <w:rsid w:val="00932410"/>
    <w:rsid w:val="00937C69"/>
    <w:rsid w:val="00950CDA"/>
    <w:rsid w:val="00996C63"/>
    <w:rsid w:val="00A44360"/>
    <w:rsid w:val="00AB432D"/>
    <w:rsid w:val="00B64ADD"/>
    <w:rsid w:val="00BE4FE5"/>
    <w:rsid w:val="00C90316"/>
    <w:rsid w:val="00D37119"/>
    <w:rsid w:val="00D37F70"/>
    <w:rsid w:val="00D46DD8"/>
    <w:rsid w:val="00DF5B40"/>
    <w:rsid w:val="00E01ACE"/>
    <w:rsid w:val="00E272E3"/>
    <w:rsid w:val="00ED1472"/>
    <w:rsid w:val="00F3208B"/>
    <w:rsid w:val="00F47DA7"/>
    <w:rsid w:val="00FD7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0C66"/>
  <w14:defaultImageDpi w14:val="32767"/>
  <w15:chartTrackingRefBased/>
  <w15:docId w15:val="{BAAAB58D-C7BA-FE4D-867E-28FAA600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7169">
      <w:bodyDiv w:val="1"/>
      <w:marLeft w:val="0"/>
      <w:marRight w:val="0"/>
      <w:marTop w:val="0"/>
      <w:marBottom w:val="0"/>
      <w:divBdr>
        <w:top w:val="none" w:sz="0" w:space="0" w:color="auto"/>
        <w:left w:val="none" w:sz="0" w:space="0" w:color="auto"/>
        <w:bottom w:val="none" w:sz="0" w:space="0" w:color="auto"/>
        <w:right w:val="none" w:sz="0" w:space="0" w:color="auto"/>
      </w:divBdr>
      <w:divsChild>
        <w:div w:id="1231506078">
          <w:marLeft w:val="0"/>
          <w:marRight w:val="0"/>
          <w:marTop w:val="0"/>
          <w:marBottom w:val="0"/>
          <w:divBdr>
            <w:top w:val="none" w:sz="0" w:space="0" w:color="auto"/>
            <w:left w:val="none" w:sz="0" w:space="0" w:color="auto"/>
            <w:bottom w:val="none" w:sz="0" w:space="0" w:color="auto"/>
            <w:right w:val="none" w:sz="0" w:space="0" w:color="auto"/>
          </w:divBdr>
        </w:div>
        <w:div w:id="104243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Sowton</dc:creator>
  <cp:keywords/>
  <dc:description/>
  <cp:lastModifiedBy>Katie O'Brien</cp:lastModifiedBy>
  <cp:revision>3</cp:revision>
  <dcterms:created xsi:type="dcterms:W3CDTF">2018-07-20T13:01:00Z</dcterms:created>
  <dcterms:modified xsi:type="dcterms:W3CDTF">2018-07-20T14:58:00Z</dcterms:modified>
</cp:coreProperties>
</file>