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/>
      </w:tblPr>
      <w:tblGrid>
        <w:gridCol w:w="9319"/>
      </w:tblGrid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Action CA15203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Title: Mitochondrial mapping: Evolution - Age - Gender - Lifestyle -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Draft Agenda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1st Management Committee Meeting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Association, 149 avenue Louise, 15th floor, 1050 Brussels, Belgium</w:t>
            </w:r>
          </w:p>
        </w:tc>
      </w:tr>
      <w:tr w:rsidR="00000000">
        <w:trPr>
          <w:trHeight w:val="100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September 2016 from 09:30 to 17:00</w:t>
            </w:r>
          </w:p>
        </w:tc>
      </w:tr>
    </w:tbl>
    <w:p w:rsidR="00000000" w:rsidRDefault="00D21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/>
      </w:tblPr>
      <w:tblGrid>
        <w:gridCol w:w="531"/>
        <w:gridCol w:w="567"/>
        <w:gridCol w:w="8221"/>
      </w:tblGrid>
      <w:tr w:rsidR="00000000">
        <w:trPr>
          <w:cantSplit/>
          <w:trHeight w:val="28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Welcome to participants</w:t>
            </w:r>
          </w:p>
        </w:tc>
      </w:tr>
      <w:tr w:rsidR="00000000">
        <w:trPr>
          <w:cantSplit/>
          <w:trHeight w:val="28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Verification of the presence of two-thirds of the Participating COST Countries (quorum)</w:t>
            </w:r>
          </w:p>
        </w:tc>
      </w:tr>
      <w:tr w:rsidR="00000000">
        <w:trPr>
          <w:cantSplit/>
          <w:trHeight w:val="28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Adoption of agenda</w:t>
            </w:r>
          </w:p>
        </w:tc>
      </w:tr>
      <w:tr w:rsidR="00000000">
        <w:trPr>
          <w:cantSplit/>
          <w:trHeight w:val="28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Tour de table / introduction of the MC members</w:t>
            </w:r>
          </w:p>
        </w:tc>
      </w:tr>
      <w:tr w:rsidR="00000000">
        <w:trPr>
          <w:cantSplit/>
          <w:trHeight w:val="28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General information on COST mechanism and on the funding and reporting of coordination activities:</w:t>
            </w:r>
          </w:p>
        </w:tc>
      </w:tr>
      <w:tr w:rsidR="00000000">
        <w:trPr>
          <w:cantSplit/>
          <w:trHeight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overview, policies and structure</w:t>
            </w:r>
          </w:p>
        </w:tc>
      </w:tr>
      <w:tr w:rsidR="00000000">
        <w:trPr>
          <w:cantSplit/>
          <w:trHeight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Financing COST Action activities: Administrative Rules and Guidelines, Work and Budget Plan, COST Action Gra</w:t>
            </w:r>
            <w:r>
              <w:rPr>
                <w:rFonts w:ascii="Arial" w:hAnsi="Arial" w:cs="Arial"/>
                <w:sz w:val="20"/>
                <w:szCs w:val="20"/>
              </w:rPr>
              <w:t>nt Agreement, Financial Reporting</w:t>
            </w:r>
          </w:p>
        </w:tc>
      </w:tr>
      <w:tr w:rsidR="00000000">
        <w:trPr>
          <w:cantSplit/>
          <w:trHeight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Scientific/networking Reporting and Monitoring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Agreement on the internal rules of procedure for the Management Committee of the COST Action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Setting the frame for the Action - presentation by the Science Officer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 of the Scientific Committee recommendations to the Action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 Coffee break ---------------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Election of the Chair and Vice-Chair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Selection of: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Grant Holder institution  (Scientific Representative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FSAC rate for the Grant Holder institution</w:t>
            </w:r>
          </w:p>
        </w:tc>
      </w:tr>
      <w:tr w:rsidR="00000000">
        <w:trPr>
          <w:cantSplit/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Presentation and discussion of the Action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Presentation of the Action by the "Main Proposer"/Chair of the Action (based on the Memorandum of Understanding)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Objectives and deliverables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Groups and other management roles/structures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Implementation of COST policies on the promotion of Inclusiveness and Excellence (see below list of Inclusiveness Target Countries), gender balance and Early Career Investigators (ECI)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MC disc</w:t>
            </w:r>
            <w:r>
              <w:rPr>
                <w:rFonts w:ascii="Arial" w:hAnsi="Arial" w:cs="Arial"/>
                <w:sz w:val="20"/>
                <w:szCs w:val="20"/>
              </w:rPr>
              <w:t>ussion of: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Deliverables and timeline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Groups and other management roles/structures</w:t>
            </w:r>
          </w:p>
        </w:tc>
      </w:tr>
      <w:tr w:rsidR="00000000">
        <w:trPr>
          <w:cantSplit/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Implementation of Scientific Committee recommendations and COST policies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rPr>
          <w:trHeight w:val="100"/>
        </w:trPr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85B"/>
                <w:sz w:val="20"/>
                <w:szCs w:val="20"/>
              </w:rPr>
              <w:t>Inclusiveness Target Countries: Bosnia-Herzegovina, Bulgaria, Cyprus,</w:t>
            </w:r>
            <w:r>
              <w:rPr>
                <w:rFonts w:ascii="Arial" w:hAnsi="Arial" w:cs="Arial"/>
                <w:color w:val="56585B"/>
                <w:sz w:val="20"/>
                <w:szCs w:val="20"/>
              </w:rPr>
              <w:t xml:space="preserve"> Czech Republic, Estonia, Croatia, Hungary, Lithuania, Latvia, Luxembourg, Malta, Montenegro, Poland, Portugal, Romania, Slovenia, Slovakia, the former Yugoslav Republic of Macedonia, Republic of Serbia and Turkey.</w:t>
            </w:r>
          </w:p>
        </w:tc>
      </w:tr>
    </w:tbl>
    <w:p w:rsidR="00000000" w:rsidRDefault="00D21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47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/>
      </w:tblPr>
      <w:tblGrid>
        <w:gridCol w:w="531"/>
        <w:gridCol w:w="567"/>
        <w:gridCol w:w="8221"/>
      </w:tblGrid>
      <w:tr w:rsidR="00000000">
        <w:trPr>
          <w:trHeight w:val="28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Establishment of Action Management structure</w:t>
            </w:r>
          </w:p>
        </w:tc>
      </w:tr>
      <w:tr w:rsidR="00000000">
        <w:trPr>
          <w:trHeight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Election of Working Group Leaders and STSM Manager</w:t>
            </w:r>
          </w:p>
        </w:tc>
      </w:tr>
      <w:tr w:rsidR="00000000">
        <w:trPr>
          <w:trHeight w:val="28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Election of other management roles</w:t>
            </w:r>
          </w:p>
        </w:tc>
      </w:tr>
      <w:tr w:rsidR="00000000">
        <w:trPr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--------------- Lunch break ---------------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rPr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Action implementation planning</w:t>
            </w:r>
          </w:p>
        </w:tc>
      </w:tr>
      <w:tr w:rsidR="00000000">
        <w:trPr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Development of Objective Achievement Indicators for MoU Objectives</w:t>
            </w:r>
          </w:p>
        </w:tc>
      </w:tr>
      <w:tr w:rsidR="00000000">
        <w:trPr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1st Grant Period (GP)</w:t>
            </w:r>
          </w:p>
        </w:tc>
      </w:tr>
      <w:tr w:rsidR="00000000">
        <w:trPr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Grant Period Goals, WG tasks and deliverables</w:t>
            </w:r>
          </w:p>
        </w:tc>
      </w:tr>
      <w:tr w:rsidR="00000000">
        <w:trPr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Activity and budget planning (Work and Budget Plan preparation)</w:t>
            </w:r>
          </w:p>
        </w:tc>
      </w:tr>
      <w:tr w:rsidR="00000000">
        <w:trPr>
          <w:trHeight w:val="1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color w:val="F47729"/>
                <w:sz w:val="10"/>
                <w:szCs w:val="10"/>
              </w:rPr>
              <w:t></w:t>
            </w:r>
            <w:r>
              <w:rPr>
                <w:rFonts w:ascii="Arial" w:hAnsi="Arial" w:cs="Arial"/>
                <w:sz w:val="20"/>
                <w:szCs w:val="20"/>
              </w:rPr>
              <w:t xml:space="preserve"> Dissemination strategy/ planning (</w:t>
            </w:r>
            <w:r>
              <w:rPr>
                <w:rFonts w:ascii="Arial" w:hAnsi="Arial" w:cs="Arial"/>
                <w:sz w:val="20"/>
                <w:szCs w:val="20"/>
              </w:rPr>
              <w:t>Publications and outreach activities)</w:t>
            </w:r>
          </w:p>
        </w:tc>
      </w:tr>
      <w:tr w:rsidR="00000000">
        <w:trPr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Any Other Business (AOB)</w:t>
            </w:r>
          </w:p>
        </w:tc>
      </w:tr>
      <w:tr w:rsidR="00000000">
        <w:trPr>
          <w:trHeight w:val="100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Closing</w:t>
            </w:r>
          </w:p>
        </w:tc>
      </w:tr>
    </w:tbl>
    <w:p w:rsidR="00000000" w:rsidRDefault="00D21FED"/>
    <w:sectPr w:rsidR="00000000">
      <w:headerReference w:type="default" r:id="rId6"/>
      <w:footerReference w:type="default" r:id="rId7"/>
      <w:pgSz w:w="11907" w:h="16840"/>
      <w:pgMar w:top="1985" w:right="1134" w:bottom="25" w:left="1418" w:header="0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21FED">
      <w:pPr>
        <w:spacing w:after="0" w:line="240" w:lineRule="auto"/>
      </w:pPr>
      <w:r>
        <w:separator/>
      </w:r>
    </w:p>
  </w:endnote>
  <w:endnote w:type="continuationSeparator" w:id="0">
    <w:p w:rsidR="00000000" w:rsidRDefault="00D2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1F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180020" distB="180020" distL="180020" distR="180020" simplePos="0" relativeHeight="251662336" behindDoc="1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120765" cy="720090"/>
          <wp:effectExtent l="1905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21FED">
      <w:pPr>
        <w:spacing w:after="0" w:line="240" w:lineRule="auto"/>
      </w:pPr>
      <w:r>
        <w:separator/>
      </w:r>
    </w:p>
  </w:footnote>
  <w:footnote w:type="continuationSeparator" w:id="0">
    <w:p w:rsidR="00000000" w:rsidRDefault="00D2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1F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  <w:tbl>
    <w:tblPr>
      <w:tblW w:w="0" w:type="auto"/>
      <w:tblInd w:w="47" w:type="dxa"/>
      <w:tblLayout w:type="fixed"/>
      <w:tblCellMar>
        <w:top w:w="11" w:type="dxa"/>
        <w:left w:w="11" w:type="dxa"/>
        <w:bottom w:w="11" w:type="dxa"/>
        <w:right w:w="11" w:type="dxa"/>
      </w:tblCellMar>
      <w:tblLook w:val="0000"/>
    </w:tblPr>
    <w:tblGrid>
      <w:gridCol w:w="9319"/>
    </w:tblGrid>
    <w:tr w:rsidR="00000000">
      <w:trPr>
        <w:trHeight w:val="100"/>
      </w:trPr>
      <w:tc>
        <w:tcPr>
          <w:tcW w:w="9319" w:type="dxa"/>
          <w:tcBorders>
            <w:top w:val="nil"/>
            <w:left w:val="nil"/>
            <w:bottom w:val="nil"/>
            <w:right w:val="nil"/>
          </w:tcBorders>
        </w:tcPr>
        <w:p w:rsidR="00000000" w:rsidRDefault="00D21F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-72390</wp:posOffset>
                </wp:positionH>
                <wp:positionV relativeFrom="margin">
                  <wp:posOffset>0</wp:posOffset>
                </wp:positionV>
                <wp:extent cx="6084570" cy="1260475"/>
                <wp:effectExtent l="19050" t="0" r="0" b="0"/>
                <wp:wrapSquare wrapText="bothSides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4570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RDefault="00D21F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FED"/>
    <w:rsid w:val="00D2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4</DocSecurity>
  <Lines>20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report</dc:title>
  <dc:creator>www.cost.eu</dc:creator>
  <cp:lastModifiedBy>plattnerc</cp:lastModifiedBy>
  <cp:revision>2</cp:revision>
  <dcterms:created xsi:type="dcterms:W3CDTF">2016-08-22T07:02:00Z</dcterms:created>
  <dcterms:modified xsi:type="dcterms:W3CDTF">2016-08-22T07:02:00Z</dcterms:modified>
</cp:coreProperties>
</file>